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Montserrat" w:cs="Montserrat" w:eastAsia="Montserrat" w:hAnsi="Montserrat"/>
          <w:color w:val="f166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color w:val="e69138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e69138"/>
          <w:sz w:val="28"/>
          <w:szCs w:val="28"/>
          <w:rtl w:val="0"/>
        </w:rPr>
        <w:t xml:space="preserve">Conviértete en el mejor socio conductor de entregas con estos sencillos tips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d1c1d"/>
          <w:sz w:val="20"/>
          <w:szCs w:val="20"/>
          <w:rtl w:val="0"/>
        </w:rPr>
        <w:t xml:space="preserve">De marzo a agosto, hubo un aumento del 150% en la afiliación de socios conductores cada mes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en plataformas como </w:t>
      </w:r>
      <w:r w:rsidDel="00000000" w:rsidR="00000000" w:rsidRPr="00000000">
        <w:rPr>
          <w:rFonts w:ascii="Montserrat" w:cs="Montserrat" w:eastAsia="Montserrat" w:hAnsi="Montserrat"/>
          <w:b w:val="1"/>
          <w:color w:val="1d1c1d"/>
          <w:sz w:val="20"/>
          <w:szCs w:val="20"/>
          <w:rtl w:val="0"/>
        </w:rPr>
        <w:t xml:space="preserve">Lalamove.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ind w:left="720" w:hanging="36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Por medio de capacitación constante, la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startup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busca que el 80% de sus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drivers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sean calificados arriba de 4 estrellas y media en un sistema de 5.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ind w:left="0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Ciudad de México, a 20 de octubre del 2020.-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 nueva realidad potenciada por la tecnología digital ha revolucionado los modelos de trabajo. Esquemas como la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gig economy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el teletrabajo y las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startups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de servicios por aplicaciones están trazando el camino del presente y el futuro de la economía. Dentro de estas tendencias, la industria de las entregas inmediatas ha sido un aliado estratégico en el ecosistema del comercio electrónico; esto se debe, en gran medida, a la fuerza de trabajo que representan los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socios conductores.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 diversas empresas, los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drivers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son el activo esencial para el funcionamiento de la plataforma, ya que son quienes posibilitan las entregas diarias.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 acuerdo con la AMVO, en su Estudio de Venta Online 2020, 7 de cada 10 compradores se sienten seguros al realizar una compra por internet, lo que los anima a seguir comprando.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Por ello, resulta importante contar con los mejores elementos, en este caso socios conductores que pueden adquirir ingresos extra con una total flexibilidad de horario.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Uno de los mejores incentivos de un conductor por aplicación es la valoración positiva de sus clientes tras cada entrega; estas calificaciones son las que,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eventualmente, lo posicionan como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favoritos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entre los usuarios frecuentes, lo que permite una mayor generación de ingresos al recibir pedidos y hacer entregas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antes que los demás.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Para lograr este objetivo, hay una serie de recomendaciones generales basadas siempre en el mejor trato hacia los usuarios y brindar la mejor experiencia de entregas. Para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Lalamove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empresa tecnológica de entregas de última milla, estos consejos aseguran el mejor servicio por parte del socio conductor: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ind w:left="720" w:hanging="36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Información y comunicación constante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Este es el primer paso para ser el mejor conductor asociado en una plataforma. Es fundamental saber todo lo necesario respecto a una entrega. Poseer información del punto de salida y destino, así como el tipo y tamaño de la carga es crucial antes de tomar la orden porque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“muchas veces se ha tomado la orden y al final de cuentas no puede hacerse por falta de información, por ello estamos poniendo énfasis en la capacitación y comunicación de nuestros conductores”, asegura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Alberto Argaiz, Driver Operations Manager de Lalamove.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ind w:left="720" w:hanging="36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Siempre a tiempo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 la industria del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delivery,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tiempo es oro. La puntualidad es uno de los valores más apreciados por los usuarios, y es un punto diferenciador para crear confianza con ellos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Como muestra, la AMVO arrojó que el 35% de los compradores online esperan que los tiempos de entrega sean más cortos y el 79% de ellos prefieren que sus productos lleguen hasta la puerta de su casa.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Para esto, es importante considerar elementos como la distancia del punto de entrega, el tráfico de la ciudad donde vives y las rutas que puedes utilizar.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ind w:left="720" w:hanging="36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Cordialidad y profesionalismo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Un mejor trato y experiencia personalizada para un cliente es algo fundamental al momento de ofrecer un servicio; sin embargo, en la industria de las entregas hay acciones puntuales que hablan de un excelente conductor asociado. Algo que da seguridad y tranquilidad a un cliente es la comunicación inmediata del conductor después de aceptar un pedido. Confirmar hora, direcciones y mercancía, hasta la forma de vestir y el respeto a las medidas de salubridad actuales serán factores para la mejor evaluación o hasta un bloqueo de la plataforma.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ind w:left="720" w:hanging="36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Considera y aprovecha los servicios especiales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 pandemia provocó la diversificación en los servicios de entrega inmediata, los cuales se pueden aprovechar para mejorar la reputación como conductor asociado y aumentar la oferta de entregas. Por ejemplo, Lalamove integró a su plataforma la entrega de alimentos y bebidas, debido al gran aumento en la demanda en estos sectores, así como la modalidad del servicio por horas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(de 6 a 8 horas)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tanto en camiones, camionetas y motocicletas.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 sugerencia es revisar qué servicio se solicita y tener el equipo necesario y la disponibilidad de tiempo para hacer las entregas. En caso de los alimentos y las bebidas, debes contar con una mochila térmica para transportarlos;  en el caso del servicio por horas, es mejor no tomar el pedido si no tienes el tiempo necesario u otras ocupaciones o pedidos programados.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Los tiempos de incertidumbre por los que pasamos son oportunidades para la innovación en nuevos modelos para generar ingresos. Hoy, asociarse a una plataforma tecnológica como conductor es una de las fuentes emergentes más rentables y seguras para mucha gente que ha resentido el impacto económico del COVID-19 y, por medio de esta práctica guía, puedes convertirte rápidamente en conductor, comenzar a recibir los primeros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pedidos y ganar dinero extra en cualquier momento del día.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center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####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Acerca de Lalamove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Desde 2013, 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Lalamove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ha incursionado en la industria de la logística para encontrar las soluciones más innovadoras que resuelvan las necesidades de entrega en todo el mundo. Millones de conductores y empresas utilizan nuestra tecnología diariamente para conectarse entre sí y mover las cosas que importan. Actualmente, 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Lalamove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conecta más de 7 millones de clientes registrados con un grupo de más de 700,000 de conductores de camionetas, camiones y motocicletas para brindar servicios de entrega el mismo día. La misión de 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Lalamove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es hacer que las entregas locales sean más rápidas y sencillas a través de innovaciones como la conexión instantánea de pedidos, el seguimiento de vehículos por GPS en tiempo real, los servicios 24/7, la optimización de rutas y un sistema de calificación de conductores. Actualmente, 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Lalamove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opera en 21 mercados alrededor de Asia y Latinoamérica. Entró al mercado mexicano a finales de 2019. 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Más información en: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16"/>
            <w:szCs w:val="16"/>
            <w:u w:val="single"/>
            <w:rtl w:val="0"/>
          </w:rPr>
          <w:t xml:space="preserve">https://www.lalamove.com/mexico</w:t>
        </w:r>
      </w:hyperlink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y en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16"/>
            <w:szCs w:val="16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Contacto de prensa: Emmanuel Zaragoza - 55-4903-5434 ; 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16"/>
            <w:szCs w:val="16"/>
            <w:u w:val="single"/>
            <w:rtl w:val="0"/>
          </w:rPr>
          <w:t xml:space="preserve">emmanuel.zaragoza@another.co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4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1752600</wp:posOffset>
          </wp:positionH>
          <wp:positionV relativeFrom="paragraph">
            <wp:posOffset>-190499</wp:posOffset>
          </wp:positionV>
          <wp:extent cx="2438400" cy="6477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150" l="0" r="0" t="21698"/>
                  <a:stretch>
                    <a:fillRect/>
                  </a:stretch>
                </pic:blipFill>
                <pic:spPr>
                  <a:xfrm>
                    <a:off x="0" y="0"/>
                    <a:ext cx="24384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lalamove.com/mexico" TargetMode="External"/><Relationship Id="rId7" Type="http://schemas.openxmlformats.org/officeDocument/2006/relationships/hyperlink" Target="https://www.facebook.com/lalamovemexico" TargetMode="External"/><Relationship Id="rId8" Type="http://schemas.openxmlformats.org/officeDocument/2006/relationships/hyperlink" Target="mailto:emmanuel.zaragoza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